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Author checklist</w:t>
      </w:r>
    </w:p>
    <w:p>
      <w:pPr>
        <w:spacing w:after="120"/>
      </w:pPr>
      <w:r>
        <w:rPr>
          <w:b/>
          <w:bCs/>
          <w:color w:val="147A62"/>
          <w:sz w:val="24"/>
          <w:szCs w:val="24"/>
        </w:rPr>
        <w:t xml:space="preserve">PLOS ONE</w:t>
      </w:r>
      <w:r>
        <w:rPr>
          <w:color w:val="52627A"/>
          <w:sz w:val="22"/>
          <w:szCs w:val="22"/>
        </w:rPr>
        <w:t xml:space="preserve">  ·  Research Article</w:t>
      </w:r>
    </w:p>
    <w:p>
      <w:pPr>
        <w:spacing w:after="180" w:line="300"/>
      </w:pPr>
      <w:r>
        <w:rPr>
          <w:color w:val="46566F"/>
        </w:rPr>
        <w:t xml:space="preserve">4 author-supplied items remain.</w:t>
      </w:r>
    </w:p>
    <w:p>
      <w:pPr>
        <w:pStyle w:val="Heading1"/>
      </w:pPr>
      <w:r>
        <w:t xml:space="preserve">Before submission</w:t>
      </w:r>
    </w:p>
    <w:p>
      <w:pPr>
        <w:pStyle w:val="ListParagraph"/>
        <w:numPr>
          <w:ilvl w:val="0"/>
          <w:numId w:val="1"/>
        </w:numPr>
        <w:spacing w:after="80" w:line="300"/>
        <w:ind w:left="540" w:hanging="270"/>
      </w:pPr>
      <w:r>
        <w:t xml:space="preserve">Competing interests</w:t>
      </w:r>
    </w:p>
    <w:p>
      <w:pPr>
        <w:pStyle w:val="ListParagraph"/>
        <w:numPr>
          <w:ilvl w:val="0"/>
          <w:numId w:val="1"/>
        </w:numPr>
        <w:spacing w:after="80" w:line="300"/>
        <w:ind w:left="540" w:hanging="270"/>
      </w:pPr>
      <w:r>
        <w:t xml:space="preserve">Ethics statement</w:t>
      </w:r>
    </w:p>
    <w:p>
      <w:pPr>
        <w:pStyle w:val="ListParagraph"/>
        <w:numPr>
          <w:ilvl w:val="0"/>
          <w:numId w:val="1"/>
        </w:numPr>
        <w:spacing w:after="80" w:line="300"/>
        <w:ind w:left="540" w:hanging="270"/>
      </w:pPr>
      <w:r>
        <w:t xml:space="preserve">Competing interests declaration</w:t>
      </w:r>
    </w:p>
    <w:p>
      <w:pPr>
        <w:pStyle w:val="ListParagraph"/>
        <w:numPr>
          <w:ilvl w:val="0"/>
          <w:numId w:val="1"/>
        </w:numPr>
        <w:spacing w:after="80" w:line="300"/>
        <w:ind w:left="540" w:hanging="270"/>
      </w:pPr>
      <w:r>
        <w:t xml:space="preserve">Ethics declaration</w:t>
      </w:r>
    </w:p>
    <w:p>
      <w:pPr>
        <w:pStyle w:val="Heading1"/>
        <w:pageBreakBefore/>
      </w:pPr>
      <w:r>
        <w:t xml:space="preserve">Journal checks</w:t>
      </w:r>
    </w:p>
    <w:p>
      <w:pPr>
        <w:keepLines/>
        <w:spacing w:after="140" w:line="300"/>
      </w:pPr>
      <w:r>
        <w:rPr>
          <w:b/>
          <w:bCs/>
          <w:color w:val="147A62"/>
          <w:sz w:val="18"/>
          <w:szCs w:val="18"/>
        </w:rPr>
        <w:t xml:space="preserve">COMPLETE  </w:t>
      </w:r>
      <w:r>
        <w:rPr>
          <w:b/>
          <w:bCs/>
          <w:color w:val="0B2545"/>
        </w:rPr>
        <w:t xml:space="preserve">Data availability statement</w:t>
      </w:r>
      <w:r>
        <w:rPr>
          <w:color w:val="46566F"/>
        </w:rPr>
        <w:t xml:space="preserve"> — Detected explicit data availability declaration language in the manuscript.</w:t>
      </w:r>
    </w:p>
    <w:p>
      <w:pPr>
        <w:keepLines/>
        <w:spacing w:after="140" w:line="300"/>
      </w:pPr>
      <w:r>
        <w:rPr>
          <w:b/>
          <w:bCs/>
          <w:color w:val="147A62"/>
          <w:sz w:val="18"/>
          <w:szCs w:val="18"/>
        </w:rPr>
        <w:t xml:space="preserve">COMPLETE  </w:t>
      </w:r>
      <w:r>
        <w:rPr>
          <w:b/>
          <w:bCs/>
          <w:color w:val="0B2545"/>
        </w:rPr>
        <w:t xml:space="preserve">Funding statement</w:t>
      </w:r>
      <w:r>
        <w:rPr>
          <w:color w:val="46566F"/>
        </w:rPr>
        <w:t xml:space="preserve"> — Detected explicit funding statement language in the manuscript.</w:t>
      </w:r>
    </w:p>
    <w:p>
      <w:pPr>
        <w:keepLines/>
        <w:spacing w:after="140" w:line="300"/>
      </w:pPr>
      <w:r>
        <w:rPr>
          <w:b/>
          <w:bCs/>
          <w:color w:val="8A6200"/>
          <w:sz w:val="18"/>
          <w:szCs w:val="18"/>
        </w:rPr>
        <w:t xml:space="preserve">AUTHOR ACTION  </w:t>
      </w:r>
      <w:r>
        <w:rPr>
          <w:b/>
          <w:bCs/>
          <w:color w:val="0B2545"/>
        </w:rPr>
        <w:t xml:space="preserve">Competing interests</w:t>
      </w:r>
      <w:r>
        <w:rPr>
          <w:color w:val="46566F"/>
        </w:rPr>
        <w:t xml:space="preserve"> — Add or confirm the author-supplied competing interests; Articlo does not invent missing content.</w:t>
      </w:r>
    </w:p>
    <w:p>
      <w:pPr>
        <w:keepLines/>
        <w:spacing w:after="140" w:line="300"/>
      </w:pPr>
      <w:r>
        <w:rPr>
          <w:b/>
          <w:bCs/>
          <w:color w:val="8A6200"/>
          <w:sz w:val="18"/>
          <w:szCs w:val="18"/>
        </w:rPr>
        <w:t xml:space="preserve">AUTHOR ACTION  </w:t>
      </w:r>
      <w:r>
        <w:rPr>
          <w:b/>
          <w:bCs/>
          <w:color w:val="0B2545"/>
        </w:rPr>
        <w:t xml:space="preserve">Ethics statement</w:t>
      </w:r>
      <w:r>
        <w:rPr>
          <w:color w:val="46566F"/>
        </w:rPr>
        <w:t xml:space="preserve"> — Add or confirm the author-supplied ethics statement; Articlo does not invent missing content.</w:t>
      </w:r>
    </w:p>
    <w:p>
      <w:pPr>
        <w:keepLines/>
        <w:spacing w:after="140" w:line="300"/>
      </w:pPr>
      <w:r>
        <w:rPr>
          <w:b/>
          <w:bCs/>
          <w:color w:val="147A62"/>
          <w:sz w:val="18"/>
          <w:szCs w:val="18"/>
        </w:rPr>
        <w:t xml:space="preserve">COMPLETE  </w:t>
      </w:r>
      <w:r>
        <w:rPr>
          <w:b/>
          <w:bCs/>
          <w:color w:val="0B2545"/>
        </w:rPr>
        <w:t xml:space="preserve">Article type</w:t>
      </w:r>
      <w:r>
        <w:rPr>
          <w:color w:val="46566F"/>
        </w:rPr>
        <w:t xml:space="preserve"> — Prepared for PLOS ONE as Research Article.</w:t>
      </w:r>
    </w:p>
    <w:p>
      <w:pPr>
        <w:keepLines/>
        <w:spacing w:after="140" w:line="300"/>
      </w:pPr>
      <w:r>
        <w:rPr>
          <w:b/>
          <w:bCs/>
          <w:color w:val="147A62"/>
          <w:sz w:val="18"/>
          <w:szCs w:val="18"/>
        </w:rPr>
        <w:t xml:space="preserve">COMPLETE  </w:t>
      </w:r>
      <w:r>
        <w:rPr>
          <w:b/>
          <w:bCs/>
          <w:color w:val="0B2545"/>
        </w:rPr>
        <w:t xml:space="preserve">Abstract section</w:t>
      </w:r>
      <w:r>
        <w:rPr>
          <w:color w:val="46566F"/>
        </w:rPr>
        <w:t xml:space="preserve"> — Detected an explicit abstract section.</w:t>
      </w:r>
    </w:p>
    <w:p>
      <w:pPr>
        <w:keepLines/>
        <w:spacing w:after="140" w:line="300"/>
      </w:pPr>
      <w:r>
        <w:rPr>
          <w:b/>
          <w:bCs/>
          <w:color w:val="147A62"/>
          <w:sz w:val="18"/>
          <w:szCs w:val="18"/>
        </w:rPr>
        <w:t xml:space="preserve">COMPLETE  </w:t>
      </w:r>
      <w:r>
        <w:rPr>
          <w:b/>
          <w:bCs/>
          <w:color w:val="0B2545"/>
        </w:rPr>
        <w:t xml:space="preserve">Reference list</w:t>
      </w:r>
      <w:r>
        <w:rPr>
          <w:color w:val="46566F"/>
        </w:rPr>
        <w:t xml:space="preserve"> — Detected an explicit reference list or multiple reference-style entries.</w:t>
      </w:r>
    </w:p>
    <w:p>
      <w:pPr>
        <w:keepLines/>
        <w:spacing w:after="140" w:line="300"/>
      </w:pPr>
      <w:r>
        <w:rPr>
          <w:b/>
          <w:bCs/>
          <w:color w:val="147A62"/>
          <w:sz w:val="18"/>
          <w:szCs w:val="18"/>
        </w:rPr>
        <w:t xml:space="preserve">COMPLETE  </w:t>
      </w:r>
      <w:r>
        <w:rPr>
          <w:b/>
          <w:bCs/>
          <w:color w:val="0B2545"/>
        </w:rPr>
        <w:t xml:space="preserve">Figure and table callouts</w:t>
      </w:r>
      <w:r>
        <w:rPr>
          <w:color w:val="46566F"/>
        </w:rPr>
        <w:t xml:space="preserve"> — Detected in-text callouts for numbered figure and table captions.</w:t>
      </w:r>
    </w:p>
    <w:p>
      <w:pPr>
        <w:keepLines/>
        <w:spacing w:after="140" w:line="300"/>
      </w:pPr>
      <w:r>
        <w:rPr>
          <w:b/>
          <w:bCs/>
          <w:color w:val="147A62"/>
          <w:sz w:val="18"/>
          <w:szCs w:val="18"/>
        </w:rPr>
        <w:t xml:space="preserve">COMPLETE  </w:t>
      </w:r>
      <w:r>
        <w:rPr>
          <w:b/>
          <w:bCs/>
          <w:color w:val="0B2545"/>
        </w:rPr>
        <w:t xml:space="preserve">Reference style</w:t>
      </w:r>
      <w:r>
        <w:rPr>
          <w:color w:val="46566F"/>
        </w:rPr>
        <w:t xml:space="preserve"> — All supplied reference entries are normalized to Vancouver numeric presentation; Articlo does not validate whether the supplied sources are factually correct.</w:t>
      </w:r>
    </w:p>
    <w:p>
      <w:pPr>
        <w:keepLines/>
        <w:spacing w:after="140" w:line="300"/>
      </w:pPr>
      <w:r>
        <w:rPr>
          <w:b/>
          <w:bCs/>
          <w:color w:val="147A62"/>
          <w:sz w:val="18"/>
          <w:szCs w:val="18"/>
        </w:rPr>
        <w:t xml:space="preserve">COMPLETE  </w:t>
      </w:r>
      <w:r>
        <w:rPr>
          <w:b/>
          <w:bCs/>
          <w:color w:val="0B2545"/>
        </w:rPr>
        <w:t xml:space="preserve">Line numbering</w:t>
      </w:r>
      <w:r>
        <w:rPr>
          <w:color w:val="46566F"/>
        </w:rPr>
        <w:t xml:space="preserve"> — Continuous manuscript line numbering was applied.</w:t>
      </w:r>
    </w:p>
    <w:p>
      <w:pPr>
        <w:keepLines/>
        <w:spacing w:after="140" w:line="300"/>
      </w:pPr>
      <w:r>
        <w:rPr>
          <w:b/>
          <w:bCs/>
          <w:color w:val="147A62"/>
          <w:sz w:val="18"/>
          <w:szCs w:val="18"/>
        </w:rPr>
        <w:t xml:space="preserve">COMPLETE  </w:t>
      </w:r>
      <w:r>
        <w:rPr>
          <w:b/>
          <w:bCs/>
          <w:color w:val="0B2545"/>
        </w:rPr>
        <w:t xml:space="preserve">Page numbering</w:t>
      </w:r>
      <w:r>
        <w:rPr>
          <w:color w:val="46566F"/>
        </w:rPr>
        <w:t xml:space="preserve"> — Manuscript page numbering was added to the center of the footer.</w:t>
      </w:r>
    </w:p>
    <w:p>
      <w:pPr>
        <w:keepLines/>
        <w:spacing w:after="140" w:line="300"/>
      </w:pPr>
      <w:r>
        <w:rPr>
          <w:b/>
          <w:bCs/>
          <w:color w:val="147A62"/>
          <w:sz w:val="18"/>
          <w:szCs w:val="18"/>
        </w:rPr>
        <w:t xml:space="preserve">COMPLETE  </w:t>
      </w:r>
      <w:r>
        <w:rPr>
          <w:b/>
          <w:bCs/>
          <w:color w:val="0B2545"/>
        </w:rPr>
        <w:t xml:space="preserve">Data availability declaration</w:t>
      </w:r>
      <w:r>
        <w:rPr>
          <w:color w:val="46566F"/>
        </w:rPr>
        <w:t xml:space="preserve"> — Detected explicit data availability declaration language.</w:t>
      </w:r>
    </w:p>
    <w:p>
      <w:pPr>
        <w:keepLines/>
        <w:spacing w:after="140" w:line="300"/>
      </w:pPr>
      <w:r>
        <w:rPr>
          <w:b/>
          <w:bCs/>
          <w:color w:val="147A62"/>
          <w:sz w:val="18"/>
          <w:szCs w:val="18"/>
        </w:rPr>
        <w:t xml:space="preserve">COMPLETE  </w:t>
      </w:r>
      <w:r>
        <w:rPr>
          <w:b/>
          <w:bCs/>
          <w:color w:val="0B2545"/>
        </w:rPr>
        <w:t xml:space="preserve">Funding declaration</w:t>
      </w:r>
      <w:r>
        <w:rPr>
          <w:color w:val="46566F"/>
        </w:rPr>
        <w:t xml:space="preserve"> — Detected explicit funding statement language.</w:t>
      </w:r>
    </w:p>
    <w:p>
      <w:pPr>
        <w:keepLines/>
        <w:spacing w:after="140" w:line="300"/>
      </w:pPr>
      <w:r>
        <w:rPr>
          <w:b/>
          <w:bCs/>
          <w:color w:val="8A6200"/>
          <w:sz w:val="18"/>
          <w:szCs w:val="18"/>
        </w:rPr>
        <w:t xml:space="preserve">AUTHOR ACTION  </w:t>
      </w:r>
      <w:r>
        <w:rPr>
          <w:b/>
          <w:bCs/>
          <w:color w:val="0B2545"/>
        </w:rPr>
        <w:t xml:space="preserve">Competing interests declaration</w:t>
      </w:r>
      <w:r>
        <w:rPr>
          <w:color w:val="46566F"/>
        </w:rPr>
        <w:t xml:space="preserve"> — Add or confirm this required declaration.</w:t>
      </w:r>
    </w:p>
    <w:p>
      <w:pPr>
        <w:keepLines/>
        <w:spacing w:after="140" w:line="300"/>
      </w:pPr>
      <w:r>
        <w:rPr>
          <w:b/>
          <w:bCs/>
          <w:color w:val="8A6200"/>
          <w:sz w:val="18"/>
          <w:szCs w:val="18"/>
        </w:rPr>
        <w:t xml:space="preserve">AUTHOR ACTION  </w:t>
      </w:r>
      <w:r>
        <w:rPr>
          <w:b/>
          <w:bCs/>
          <w:color w:val="0B2545"/>
        </w:rPr>
        <w:t xml:space="preserve">Ethics declaration</w:t>
      </w:r>
      <w:r>
        <w:rPr>
          <w:color w:val="46566F"/>
        </w:rPr>
        <w:t xml:space="preserve"> — Add or confirm this required declaration.</w:t>
      </w:r>
    </w:p>
    <w:p>
      <w:pPr>
        <w:keepLines/>
        <w:spacing w:after="140" w:line="300"/>
      </w:pPr>
      <w:r>
        <w:rPr>
          <w:b/>
          <w:bCs/>
          <w:color w:val="147A62"/>
          <w:sz w:val="18"/>
          <w:szCs w:val="18"/>
        </w:rPr>
        <w:t xml:space="preserve">COMPLETE  </w:t>
      </w:r>
      <w:r>
        <w:rPr>
          <w:b/>
          <w:bCs/>
          <w:color w:val="0B2545"/>
        </w:rPr>
        <w:t xml:space="preserve">Journal section order</w:t>
      </w:r>
      <w:r>
        <w:rPr>
          <w:color w:val="46566F"/>
        </w:rPr>
        <w:t xml:space="preserve"> — Detected sections were placed in the journal sequence without changing their contents.</w:t>
      </w:r>
    </w:p>
    <w:p>
      <w:pPr>
        <w:keepLines/>
        <w:spacing w:after="140" w:line="300"/>
      </w:pPr>
      <w:r>
        <w:rPr>
          <w:b/>
          <w:bCs/>
          <w:color w:val="147A62"/>
          <w:sz w:val="18"/>
          <w:szCs w:val="18"/>
        </w:rPr>
        <w:t xml:space="preserve">COMPLETE  </w:t>
      </w:r>
      <w:r>
        <w:rPr>
          <w:b/>
          <w:bCs/>
          <w:color w:val="0B2545"/>
        </w:rPr>
        <w:t xml:space="preserve">Table placement</w:t>
      </w:r>
      <w:r>
        <w:rPr>
          <w:color w:val="46566F"/>
        </w:rPr>
        <w:t xml:space="preserve"> — Detected tables already comply with the stored placement rule.</w:t>
      </w:r>
    </w:p>
    <w:p>
      <w:pPr>
        <w:keepLines/>
        <w:spacing w:after="140" w:line="300"/>
      </w:pPr>
      <w:r>
        <w:rPr>
          <w:b/>
          <w:bCs/>
          <w:color w:val="147A62"/>
          <w:sz w:val="18"/>
          <w:szCs w:val="18"/>
        </w:rPr>
        <w:t xml:space="preserve">COMPLETE  </w:t>
      </w:r>
      <w:r>
        <w:rPr>
          <w:b/>
          <w:bCs/>
          <w:color w:val="0B2545"/>
        </w:rPr>
        <w:t xml:space="preserve">Figure placement</w:t>
      </w:r>
      <w:r>
        <w:rPr>
          <w:color w:val="46566F"/>
        </w:rPr>
        <w:t xml:space="preserve"> — Detected figure placement already complies with the stored rule.</w:t>
      </w:r>
    </w:p>
    <w:p>
      <w:pPr>
        <w:keepLines/>
        <w:spacing w:after="140" w:line="300"/>
      </w:pPr>
      <w:r>
        <w:rPr>
          <w:b/>
          <w:bCs/>
          <w:color w:val="147A62"/>
          <w:sz w:val="18"/>
          <w:szCs w:val="18"/>
        </w:rPr>
        <w:t xml:space="preserve">COMPLETE  </w:t>
      </w:r>
      <w:r>
        <w:rPr>
          <w:b/>
          <w:bCs/>
          <w:color w:val="0B2545"/>
        </w:rPr>
        <w:t xml:space="preserve">Figure legends</w:t>
      </w:r>
      <w:r>
        <w:rPr>
          <w:color w:val="46566F"/>
        </w:rPr>
        <w:t xml:space="preserve"> — Detected numbered manuscript legends for 1 embedded figure.</w:t>
      </w:r>
    </w:p>
    <w:p>
      <w:pPr>
        <w:keepLines/>
        <w:spacing w:after="140" w:line="300"/>
      </w:pPr>
      <w:r>
        <w:rPr>
          <w:b/>
          <w:bCs/>
          <w:color w:val="147A62"/>
          <w:sz w:val="18"/>
          <w:szCs w:val="18"/>
        </w:rPr>
        <w:t xml:space="preserve">COMPLETE  </w:t>
      </w:r>
      <w:r>
        <w:rPr>
          <w:b/>
          <w:bCs/>
          <w:color w:val="0B2545"/>
        </w:rPr>
        <w:t xml:space="preserve">References and citation callouts</w:t>
      </w:r>
      <w:r>
        <w:rPr>
          <w:color w:val="46566F"/>
        </w:rPr>
        <w:t xml:space="preserve"> — Formatted 1 supplied reference(s) and converted 1 detected citation callout(s) to Vancouver format while retaining the user's bibliographic content as authoritative.</w:t>
      </w:r>
    </w:p>
    <w:p>
      <w:pPr>
        <w:keepLines/>
        <w:spacing w:after="140" w:line="300"/>
      </w:pPr>
      <w:r>
        <w:rPr>
          <w:b/>
          <w:bCs/>
          <w:color w:val="147A62"/>
          <w:sz w:val="18"/>
          <w:szCs w:val="18"/>
        </w:rPr>
        <w:t xml:space="preserve">COMPLETE  </w:t>
      </w:r>
      <w:r>
        <w:rPr>
          <w:b/>
          <w:bCs/>
          <w:color w:val="0B2545"/>
        </w:rPr>
        <w:t xml:space="preserve">Figure source files</w:t>
      </w:r>
      <w:r>
        <w:rPr>
          <w:color w:val="46566F"/>
        </w:rPr>
        <w:t xml:space="preserve"> — Extracted 1 embedded figure source file into the submission package.</w:t>
      </w:r>
    </w:p>
    <w:p>
      <w:pPr>
        <w:keepLines/>
        <w:spacing w:after="140" w:line="300"/>
      </w:pPr>
      <w:r>
        <w:rPr>
          <w:b/>
          <w:bCs/>
          <w:color w:val="147A62"/>
          <w:sz w:val="18"/>
          <w:szCs w:val="18"/>
        </w:rPr>
        <w:t xml:space="preserve">COMPLETE  </w:t>
      </w:r>
      <w:r>
        <w:rPr>
          <w:b/>
          <w:bCs/>
          <w:color w:val="0B2545"/>
        </w:rPr>
        <w:t xml:space="preserve">Document integrity</w:t>
      </w:r>
      <w:r>
        <w:rPr>
          <w:color w:val="46566F"/>
        </w:rPr>
        <w:t xml:space="preserve"> — Verified complete manuscript token retention plus table, image, equation, note, bookmark, text-box, embedded-content, section, and review-markup integrity before packaging.</w:t>
      </w:r>
    </w:p>
    <w:p>
      <w:pPr>
        <w:pStyle w:val="Heading1"/>
      </w:pPr>
      <w:r>
        <w:t xml:space="preserve">Preparation notes</w:t>
      </w:r>
    </w:p>
    <w:p>
      <w:pPr>
        <w:pStyle w:val="ListParagraph"/>
        <w:numPr>
          <w:ilvl w:val="0"/>
          <w:numId w:val="1"/>
        </w:numPr>
        <w:spacing w:after="80" w:line="300"/>
        <w:ind w:left="540" w:hanging="270"/>
      </w:pPr>
      <w:r>
        <w:t xml:space="preserve">Set 1-inch page margins</w:t>
      </w:r>
    </w:p>
    <w:p>
      <w:pPr>
        <w:pStyle w:val="ListParagraph"/>
        <w:numPr>
          <w:ilvl w:val="0"/>
          <w:numId w:val="1"/>
        </w:numPr>
        <w:spacing w:after="80" w:line="300"/>
        <w:ind w:left="540" w:hanging="270"/>
      </w:pPr>
      <w:r>
        <w:t xml:space="preserve">Applied 11-point Arial document defaults</w:t>
      </w:r>
    </w:p>
    <w:p>
      <w:pPr>
        <w:pStyle w:val="ListParagraph"/>
        <w:numPr>
          <w:ilvl w:val="0"/>
          <w:numId w:val="1"/>
        </w:numPr>
        <w:spacing w:after="80" w:line="300"/>
        <w:ind w:left="540" w:hanging="270"/>
      </w:pPr>
      <w:r>
        <w:t xml:space="preserve">Normalized manuscript text to 11-point Arial</w:t>
      </w:r>
    </w:p>
    <w:p>
      <w:pPr>
        <w:pStyle w:val="ListParagraph"/>
        <w:numPr>
          <w:ilvl w:val="0"/>
          <w:numId w:val="1"/>
        </w:numPr>
        <w:spacing w:after="80" w:line="300"/>
        <w:ind w:left="540" w:hanging="270"/>
      </w:pPr>
      <w:r>
        <w:t xml:space="preserve">Applied double manuscript paragraph spacing</w:t>
      </w:r>
    </w:p>
    <w:p>
      <w:pPr>
        <w:pStyle w:val="ListParagraph"/>
        <w:numPr>
          <w:ilvl w:val="0"/>
          <w:numId w:val="1"/>
        </w:numPr>
        <w:spacing w:after="80" w:line="300"/>
        <w:ind w:left="540" w:hanging="270"/>
      </w:pPr>
      <w:r>
        <w:t xml:space="preserve">Enabled manuscript line numbering</w:t>
      </w:r>
    </w:p>
    <w:p>
      <w:pPr>
        <w:pStyle w:val="ListParagraph"/>
        <w:numPr>
          <w:ilvl w:val="0"/>
          <w:numId w:val="1"/>
        </w:numPr>
        <w:spacing w:after="80" w:line="300"/>
        <w:ind w:left="540" w:hanging="270"/>
      </w:pPr>
      <w:r>
        <w:t xml:space="preserve">Added manuscript page numbering to the center of the footer</w:t>
      </w:r>
    </w:p>
    <w:p>
      <w:pPr>
        <w:pStyle w:val="ListParagraph"/>
        <w:numPr>
          <w:ilvl w:val="0"/>
          <w:numId w:val="1"/>
        </w:numPr>
        <w:spacing w:after="80" w:line="300"/>
        <w:ind w:left="540" w:hanging="270"/>
      </w:pPr>
      <w:r>
        <w:t xml:space="preserve">Applied hanging indent to the references section</w:t>
      </w:r>
    </w:p>
    <w:p>
      <w:pPr>
        <w:pStyle w:val="ListParagraph"/>
        <w:numPr>
          <w:ilvl w:val="0"/>
          <w:numId w:val="1"/>
        </w:numPr>
        <w:spacing w:after="80" w:line="300"/>
        <w:ind w:left="540" w:hanging="270"/>
      </w:pPr>
      <w:r>
        <w:t xml:space="preserve">Removed Word comments from the prepared manuscript</w:t>
      </w:r>
    </w:p>
    <w:p>
      <w:pPr>
        <w:pStyle w:val="ListParagraph"/>
        <w:numPr>
          <w:ilvl w:val="0"/>
          <w:numId w:val="1"/>
        </w:numPr>
        <w:spacing w:after="80" w:line="300"/>
        <w:ind w:left="540" w:hanging="270"/>
      </w:pPr>
      <w:r>
        <w:t xml:space="preserve">Reordered detected manuscript sections for the selected journal</w:t>
      </w:r>
    </w:p>
    <w:p>
      <w:pPr>
        <w:pStyle w:val="ListParagraph"/>
        <w:numPr>
          <w:ilvl w:val="0"/>
          <w:numId w:val="1"/>
        </w:numPr>
        <w:spacing w:after="80" w:line="300"/>
        <w:ind w:left="540" w:hanging="270"/>
      </w:pPr>
      <w:r>
        <w:t xml:space="preserve">Converted citations to Vancouver format</w:t>
      </w:r>
    </w:p>
    <w:p>
      <w:pPr>
        <w:pStyle w:val="ListParagraph"/>
        <w:numPr>
          <w:ilvl w:val="0"/>
          <w:numId w:val="1"/>
        </w:numPr>
        <w:spacing w:after="80" w:line="300"/>
        <w:ind w:left="540" w:hanging="270"/>
      </w:pPr>
      <w:r>
        <w:t xml:space="preserve">Formatted 1 supplied reference in Vancouver format</w:t>
      </w:r>
    </w:p>
    <w:p>
      <w:pPr>
        <w:pStyle w:val="ListParagraph"/>
        <w:numPr>
          <w:ilvl w:val="0"/>
          <w:numId w:val="1"/>
        </w:numPr>
        <w:spacing w:after="80" w:line="300"/>
        <w:ind w:left="540" w:hanging="270"/>
      </w:pPr>
      <w:r>
        <w:t xml:space="preserve">Marked 1 detected table header row for assistive technology</w:t>
      </w:r>
    </w:p>
    <w:p>
      <w:pPr>
        <w:pStyle w:val="ListParagraph"/>
        <w:numPr>
          <w:ilvl w:val="0"/>
          <w:numId w:val="1"/>
        </w:numPr>
        <w:spacing w:after="80" w:line="300"/>
        <w:ind w:left="540" w:hanging="270"/>
      </w:pPr>
      <w:r>
        <w:t xml:space="preserve">Updated manuscript package title metadata</w:t>
      </w:r>
    </w:p>
    <w:p>
      <w:pPr>
        <w:pStyle w:val="ListParagraph"/>
        <w:numPr>
          <w:ilvl w:val="0"/>
          <w:numId w:val="1"/>
        </w:numPr>
        <w:spacing w:after="80" w:line="300"/>
        <w:ind w:left="540" w:hanging="270"/>
      </w:pPr>
      <w:r>
        <w:t xml:space="preserve">Removed author-identifying document metadata</w:t>
      </w:r>
    </w:p>
    <w:p>
      <w:pPr>
        <w:pStyle w:val="ListParagraph"/>
        <w:numPr>
          <w:ilvl w:val="0"/>
          <w:numId w:val="1"/>
        </w:numPr>
        <w:spacing w:after="80" w:line="300"/>
        <w:ind w:left="540" w:hanging="270"/>
      </w:pPr>
      <w:r>
        <w:t xml:space="preserve">Enabled Word field refresh on open</w:t>
      </w:r>
    </w:p>
    <w:p>
      <w:pPr>
        <w:pStyle w:val="ListParagraph"/>
        <w:numPr>
          <w:ilvl w:val="0"/>
          <w:numId w:val="1"/>
        </w:numPr>
        <w:spacing w:after="80" w:line="300"/>
        <w:ind w:left="540" w:hanging="270"/>
      </w:pPr>
      <w:r>
        <w:t xml:space="preserve">Checked manuscript language against the selected journal checklist</w:t>
      </w:r>
    </w:p>
    <w:p>
      <w:pPr>
        <w:pStyle w:val="ListParagraph"/>
        <w:numPr>
          <w:ilvl w:val="0"/>
          <w:numId w:val="1"/>
        </w:numPr>
        <w:spacing w:after="80" w:line="300"/>
        <w:ind w:left="540" w:hanging="270"/>
      </w:pPr>
      <w:r>
        <w:t xml:space="preserve">Compared manuscript text with extracted journal rules where available</w:t>
      </w:r>
    </w:p>
    <w:p>
      <w:pPr>
        <w:pStyle w:val="Heading1"/>
      </w:pPr>
      <w:r>
        <w:t xml:space="preserve">Journal guidelines</w:t>
      </w:r>
    </w:p>
    <w:p>
      <w:r>
        <w:rPr>
          <w:color w:val="147A62"/>
        </w:rPr>
        <w:t xml:space="preserve">https://journals.plos.org/plosone/s/submission-guidelines</w:t>
      </w:r>
    </w:p>
    <w:sectPr>
      <w:footerReference w:type="default" r:id="rId7"/>
      <w:pgSz w:w="12240" w:h="15840" w:orient="portrait"/>
      <w:pgMar w:top="1440" w:right="1440" w:bottom="1440" w:left="1440" w:header="720" w:footer="720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right"/>
    </w:pPr>
    <w:r>
      <w:rPr>
        <w:color w:val="6B7890"/>
        <w:sz w:val="18"/>
        <w:szCs w:val="18"/>
      </w:rPr>
      <w:t xml:space="preserve">Articlo · Author checklist · </w:t>
    </w:r>
    <w:r>
      <w:rPr>
        <w:color w:val="6B7890"/>
        <w:sz w:val="18"/>
        <w:szCs w:val="18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26364D"/>
        <w:sz w:val="22"/>
        <w:szCs w:val="22"/>
      </w:rPr>
    </w:rPrDefault>
    <w:pPrDefault>
      <w:pPr>
        <w:spacing w:after="120" w:line="300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Title">
    <w:name w:val="Title"/>
    <w:basedOn w:val="Normal"/>
    <w:next w:val="Normal"/>
    <w:qFormat/>
    <w:pPr>
      <w:keepNext/>
      <w:spacing w:after="120" w:before="0"/>
    </w:pPr>
    <w:rPr>
      <w:rFonts w:ascii="Calibri" w:cs="Calibri" w:eastAsia="Calibri" w:hAnsi="Calibri"/>
      <w:b/>
      <w:bCs/>
      <w:color w:val="0B2545"/>
      <w:sz w:val="40"/>
      <w:szCs w:val="40"/>
    </w:rPr>
  </w:style>
  <w:style w:type="paragraph" w:styleId="Heading1">
    <w:name w:val="Heading 1"/>
    <w:basedOn w:val="Normal"/>
    <w:next w:val="Normal"/>
    <w:qFormat/>
    <w:pPr>
      <w:keepNext/>
      <w:spacing w:after="140" w:before="280"/>
    </w:pPr>
    <w:rPr>
      <w:rFonts w:ascii="Calibri" w:cs="Calibri" w:eastAsia="Calibri" w:hAnsi="Calibri"/>
      <w:b/>
      <w:bCs/>
      <w:color w:val="147A62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2026-09-05T18:02:54.479Z</dcterms:created>
  <dcterms:modified xsi:type="dcterms:W3CDTF">2026-09-05T18:02:54.479Z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