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IEEE Access preparation checklist</w:t>
      </w:r>
    </w:p>
    <w:p>
      <w:r>
        <w:rPr>
          <w:i/>
          <w:iCs/>
        </w:rPr>
        <w:t xml:space="preserve">IEEE · Guidance checked 2026-06-10</w:t>
      </w:r>
    </w:p>
    <w:p>
      <w:pPr>
        <w:pStyle w:val="ListParagraph"/>
        <w:numPr>
          <w:ilvl w:val="0"/>
          <w:numId w:val="1"/>
        </w:numPr>
      </w:pPr>
      <w:r>
        <w:t xml:space="preserve">Author biography check</w:t>
      </w:r>
    </w:p>
    <w:p>
      <w:pPr>
        <w:pStyle w:val="ListParagraph"/>
        <w:numPr>
          <w:ilvl w:val="0"/>
          <w:numId w:val="1"/>
        </w:numPr>
      </w:pPr>
      <w:r>
        <w:t xml:space="preserve">Figure callouts</w:t>
      </w:r>
    </w:p>
    <w:p>
      <w:pPr>
        <w:pStyle w:val="ListParagraph"/>
        <w:numPr>
          <w:ilvl w:val="0"/>
          <w:numId w:val="1"/>
        </w:numPr>
      </w:pPr>
      <w:r>
        <w:t xml:space="preserve">Reference order</w:t>
      </w:r>
    </w:p>
    <w:p>
      <w:pPr>
        <w:pStyle w:val="ListParagraph"/>
        <w:numPr>
          <w:ilvl w:val="0"/>
          <w:numId w:val="1"/>
        </w:numPr>
      </w:pPr>
      <w:r>
        <w:t xml:space="preserve">Index terms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2026-07-10T10:56:19.770Z</dcterms:created>
  <dcterms:modified xsi:type="dcterms:W3CDTF">2026-07-10T10:56:19.770Z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